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Attention Entrepreneurship in an Anti-AI Media Ecosystem</w:t>
      </w:r>
    </w:p>
    <w:p>
      <w:pPr>
        <w:jc w:val="center"/>
      </w:pPr>
      <w:r>
        <w:rPr>
          <w:b/>
          <w:sz w:val="24"/>
        </w:rPr>
        <w:t>An emergent case study of narrative selection, ideological fit, and reputational monetization</w:t>
      </w:r>
    </w:p>
    <w:p>
      <w:pPr>
        <w:spacing w:before="360"/>
        <w:jc w:val="center"/>
      </w:pPr>
      <w:r>
        <w:rPr>
          <w:sz w:val="22"/>
        </w:rPr>
        <w:t>Research paper</w:t>
      </w:r>
    </w:p>
    <w:p>
      <w:pPr>
        <w:spacing w:before="2200"/>
        <w:jc w:val="center"/>
      </w:pPr>
      <w:r>
        <w:rPr>
          <w:i/>
          <w:sz w:val="20"/>
        </w:rPr>
        <w:t>Case material: interview transcript on AI companions, hidden labor, and digital capitalism</w:t>
      </w:r>
    </w:p>
    <w:p>
      <w:pPr>
        <w:spacing w:before="160"/>
        <w:jc w:val="center"/>
      </w:pPr>
      <w:r>
        <w:rPr>
          <w:sz w:val="20"/>
        </w:rPr>
        <w:t>Prepared July 2026</w:t>
      </w:r>
    </w:p>
    <w:p>
      <w:r>
        <w:br w:type="page"/>
      </w:r>
    </w:p>
    <w:p>
      <w:pPr>
        <w:pStyle w:val="Heading1"/>
      </w:pPr>
      <w:r>
        <w:t>Abstract</w:t>
      </w:r>
    </w:p>
    <w:p>
      <w:pPr>
        <w:pStyle w:val="AbstractText"/>
      </w:pPr>
      <w:r>
        <w:t>This paper examines a small media ecosystem organized around a critical account of artificial intelligence. The case is an interview in which sociologist and author the interviewee links AI companions, loneliness, erotic monetization, hidden data labor, colonial dependency, platform outrage, and synthetic content into a unified critique of digital capitalism. The paper does not assume a coordinated anti-AI campaign or require conscious opportunism by the interviewee. Instead, it develops the concept of attention entrepreneurship to explain how an actor can be selected by a media environment because his existing expertise, political vocabulary, narrative skill, and publication timing make him unusually capable of converting diffuse technological anxiety into engagement, authority, and income. Using a qualitative single-case design, the study reconstructs the ecosystem as a distributed feedback process involving author, host, publisher, platform, audience, and adjacent ideological networks. The central finding is that the ecosystem works through emergent alignment rather than central planning: each participant follows local incentives, while the combined system rewards negative, morally legible, and emotionally vivid accounts of AI. The interviewee’s sincerity is compatible with this process. The system does not need him to fabricate evidence; it needs him to select, compress, and connect real harms into a portable narrative object. The paper concludes that the relevant unit of analysis is not individual intent but the attention-conversion pipeline through which intellectual criticism becomes a repeatable media product.</w:t>
      </w:r>
    </w:p>
    <w:p>
      <w:pPr>
        <w:pStyle w:val="AbstractText"/>
      </w:pPr>
      <w:r>
        <w:rPr>
          <w:b/>
        </w:rPr>
        <w:t>Keywords: attention entrepreneurship; anti-AI discourse; media ecosystems; moral framing; platform incentives; narrative selection; the interviewee</w:t>
      </w:r>
      <w:r/>
    </w:p>
    <w:p>
      <w:pPr>
        <w:pStyle w:val="Heading1"/>
      </w:pPr>
      <w:r>
        <w:t>1. Introduction</w:t>
      </w:r>
    </w:p>
    <w:p>
      <w:r>
        <w:t>Public arguments about artificial intelligence increasingly circulate through hybrid media systems that combine books, podcasts, video interviews, social platforms, publishers, universities, activist networks, and recommendation algorithms. Within these systems, a successful critic does more than state a position. The critic assembles a recognizable object of concern, supplies morally compelling examples, translates specialist research into portable claims, and becomes a recurring source for hosts and audiences seeking an explanation of technological change. The resulting role can emerge without conspiracy, formal coordination, or cynical intent.</w:t>
      </w:r>
    </w:p>
    <w:p>
      <w:r>
        <w:t>This paper studies that process through a single interview transcript concerning AI companions and the hidden labor of artificial intelligence. The guest, the interviewee, is presented as an expert whose books address both synthetic relationships and the human work that supports AI systems. During the interview, he connects intimate chatbots, loneliness, erotic subscription models, data annotation in the Global South, content moderation, colonial infrastructure, gender politics, algorithmic outrage, and low-quality generated media. These topics are heterogeneous, but the interview organizes them into one intelligible story: contemporary AI is a system for converting human need, labor, and attention into private value.</w:t>
      </w:r>
    </w:p>
    <w:p>
      <w:r>
        <w:t>The case is analytically useful because it shows how a media ecosystem can produce a strongly directional account while every participant remains locally sincere. The interviewee may believe the critique, the host may consider the topic socially important, the publisher may value serious nonfiction, the audience may be genuinely concerned, and the platform may merely optimize measurable engagement. Yet the aggregate outcome is a repeatable anti-AI narrative that increases the visibility and commercial value of the people and institutions carrying it.</w:t>
      </w:r>
    </w:p>
    <w:p>
      <w:r>
        <w:t>The paper’s argument is that the interviewee functions as an attention entrepreneur selected by an emerging market for critical AI narratives. He need not have decided to “make money from hating AI,” nor is hatred the most precise description of his explicit position. The stronger and more defensible claim is structural: he was well positioned to convert a rapidly expanding cluster of public anxieties into books, interviews, authority, and further demand for his interpretive services. His role is therefore best understood as an emergent market position within a left-coded critical media ecosystem rather than as evidence of a centrally organized movement.</w:t>
      </w:r>
    </w:p>
    <w:p>
      <w:pPr>
        <w:pStyle w:val="Heading1"/>
      </w:pPr>
      <w:r>
        <w:t>2. Research Question and Thesis</w:t>
      </w:r>
    </w:p>
    <w:p>
      <w:r>
        <w:t>The primary research question is: How does a small anti-AI media ecosystem transform a researcher-author’s critical account into attention, reputational authority, and commercial opportunity without requiring deliberate coordination among its participants?</w:t>
      </w:r>
    </w:p>
    <w:p>
      <w:r>
        <w:t>The thesis is that the ecosystem operates as a distributed selection mechanism. It rewards actors who can combine credible research with emotionally vivid cases, a morally familiar political vocabulary, and a narrative broad enough to connect multiple anxieties to a single technological object. the interviewee occupies this role because his work sits at the intersection of labor critique, platform critique, intimacy studies, and public concern about AI. The rewards do not prove bad faith. They explain why this version of his work is amplified, why adjacent institutions repeatedly invite it, and why its negative framing becomes more coherent and portable over time.</w:t>
      </w:r>
    </w:p>
    <w:p>
      <w:pPr>
        <w:pStyle w:val="Heading1"/>
      </w:pPr>
      <w:r>
        <w:t>3. Conceptual Framework</w:t>
      </w:r>
    </w:p>
    <w:p>
      <w:pPr>
        <w:pStyle w:val="Heading2"/>
      </w:pPr>
      <w:r>
        <w:t>3.1 Attention entrepreneurship</w:t>
      </w:r>
    </w:p>
    <w:p>
      <w:r>
        <w:t>Attention entrepreneurship refers here to the practical activity of identifying, packaging, and circulating material capable of attracting scarce public attention and converting that attention into another asset, such as money, reputation, institutional access, audience loyalty, or agenda-setting power. The entrepreneur need not own a platform or consciously manipulate an audience. A scholar, journalist, activist, or author becomes an attention entrepreneur when the production and circulation of interpretive content creates a durable personal position in an attention market.</w:t>
      </w:r>
    </w:p>
    <w:p>
      <w:r>
        <w:t>The concept builds on the classic premise that an abundance of information creates a scarcity of attention (foundational attention-scarcity literature, 1971). Contemporary work treats attention not only as a momentary cognitive resource but as something that can accumulate, flow, and be exchanged across institutional contexts (recent attention-economics literature, 2025). A successful podcast appearance can increase book sales; book authorship can produce invitations; invitations generate clips; clips establish authority; authority creates demand for further commentary. Attention is therefore converted rather than merely captured.</w:t>
      </w:r>
    </w:p>
    <w:p>
      <w:pPr>
        <w:pStyle w:val="Heading2"/>
      </w:pPr>
      <w:r>
        <w:t>3.2 Emergent coordination and selection</w:t>
      </w:r>
    </w:p>
    <w:p>
      <w:r>
        <w:t>The analysis rejects a model in which an anti-AI movement centrally assigns roles or scripts messages. Instead, it uses an ecological model of selection. Publishers choose manuscripts likely to attract readers, hosts choose guests likely to sustain an episode, editors foreground dramatic passages, platforms rank material likely to retain users, and audiences share claims that express their concerns or identities. Each decision is local. The resulting pattern can nevertheless appear coordinated because the same traits are repeatedly rewarded across the chain.</w:t>
      </w:r>
    </w:p>
    <w:p>
      <w:r>
        <w:t>This distinction matters because conscious intention is often unavailable as evidence and is not necessary to explain the observed outcome. An individual can sincerely pursue research while learning, through ordinary feedback, which findings travel furthest. The system selects narratives that are emotionally legible, politically compatible, and easy to reuse. Over time, the actor becomes associated with those narratives and receives increasing returns for producing them.</w:t>
      </w:r>
    </w:p>
    <w:p>
      <w:pPr>
        <w:pStyle w:val="Heading2"/>
      </w:pPr>
      <w:r>
        <w:t>3.3 Moral framing and technology criticism</w:t>
      </w:r>
    </w:p>
    <w:p>
      <w:r>
        <w:t>Technology controversies are rarely communicated as neutral inventories of benefits and costs. They are organized through moral frames that identify victims, responsible agents, threatened values, and appropriate emotional responses. Research on moral panic cautions that media systems can amplify threats through repetition, dramatization, and symbolic compression, although the presence of amplification does not imply that the underlying harm is imaginary (moral-panic research, 2020). This qualification is essential in the present case. The interview contains plausible and sometimes well-supported concerns. The analytical issue is how those concerns are selected and assembled into a general interpretation of AI.</w:t>
      </w:r>
    </w:p>
    <w:p>
      <w:pPr>
        <w:pStyle w:val="Heading2"/>
      </w:pPr>
      <w:r>
        <w:t>3.4 The plain-language media-process perspective</w:t>
      </w:r>
    </w:p>
    <w:p>
      <w:r>
        <w:t>The framework supplied for this study treats intelligence as learned story selection and circulation embedded in feedback. Applied to media, the relevant tokens include anecdotes, concepts, statistics, book titles, interview prompts, clips, comments, invitations, and sales signals. These elements matter because they alter subsequent behavior. The interviewee transforms research material into narratives; the host transforms narratives into an episode; the platform transforms audience behavior into distribution decisions; and the audience transforms the episode into shares, purchases, and reputational judgments.</w:t>
      </w:r>
    </w:p>
    <w:p>
      <w:r>
        <w:t>The system can also be described as a feedback-driven media system. It measures salience, emotional intensity, ideological fit, authority cues, and audience response, then converts those measurements into practical decisions: whom to invite, which quotation to title, which clip to distribute, which book to commission, and which theme the author should pursue next. No single participant controls the entire process. Control is distributed through feedback.</w:t>
      </w:r>
    </w:p>
    <w:p>
      <w:pPr>
        <w:pStyle w:val="Heading1"/>
      </w:pPr>
      <w:r>
        <w:t>4. Method</w:t>
      </w:r>
    </w:p>
    <w:p>
      <w:r>
        <w:t>This paper uses an interpretive single-case study. The primary source is a transcript supplied by the user, covering an interview about AI companions, a commercial companion app, synthetic intimacy, hidden data labor, content moderation, outsourcing, colonial dependency, erotic platform labor, gender politics, outrage, and AI-generated content. The transcript is treated as a media artifact rather than a transparent record of the world. The analysis focuses on selection, sequencing, framing, role construction, and value conversion.</w:t>
      </w:r>
    </w:p>
    <w:p>
      <w:r>
        <w:t>The case is supplemented by public information about the interviewee’s authorial role and by scholarship on attention markets, moral outrage, platform incentives, and moral panic. The method does not attempt to infer private motives. Claims about intentional manipulation are therefore avoided unless supported directly. The paper distinguishes three levels of claim: textual observations about what the interview does; structural inferences about how the surrounding ecosystem rewards it; and broader hypotheses about left-coded anti-AI discourse.</w:t>
      </w:r>
    </w:p>
    <w:p>
      <w:r>
        <w:t>The phrase “left-coded” is used descriptively rather than as a claim that all left-wing actors oppose AI. It refers to a recognizable cluster of frames centered on labor exploitation, capital concentration, colonial dependency, commodification, platform power, and billionaire ownership. These frames can be applied to AI in analytically serious ways. The case study asks why they also provide unusually effective media packaging.</w:t>
      </w:r>
    </w:p>
    <w:p>
      <w:pPr>
        <w:pStyle w:val="Heading1"/>
      </w:pPr>
      <w:r>
        <w:t>5. The Case</w:t>
      </w:r>
    </w:p>
    <w:p>
      <w:pPr>
        <w:pStyle w:val="Heading2"/>
      </w:pPr>
      <w:r>
        <w:t>5.1 Construction of the expert role</w:t>
      </w:r>
    </w:p>
    <w:p>
      <w:r>
        <w:t>The interview introduces the guest as an unusually suitable guide because he has written one book on AI companions and another on the labor used to construct AI. This introduction immediately establishes a dual authority: he has investigated both the visible consumer interface and the concealed production system. The structure allows the episode to move from personal intimacy to global capitalism without changing experts.</w:t>
      </w:r>
    </w:p>
    <w:p>
      <w:r>
        <w:t>the interviewee’s own experiment with a a commercial companion app companion performs an additional credibility function. He is not presented merely as an ideological critic observing users from outside. He has downloaded the product, created a companion, experienced its intimacy-escalation mechanisms, and reflected on his partial susceptibility to them. The personal experiment humanizes the speaker while preserving analytical distance. It provides a narrative protagonist and reduces the risk that the critique will appear abstract or predetermined.</w:t>
      </w:r>
    </w:p>
    <w:p>
      <w:pPr>
        <w:pStyle w:val="Heading2"/>
      </w:pPr>
      <w:r>
        <w:t>5.2 Strategic moderation</w:t>
      </w:r>
    </w:p>
    <w:p>
      <w:r>
        <w:t>A central rhetorical feature is the guest’s refusal to condemn users. He acknowledges that companions may help people with disabilities, neurodivergence, grief, social anxiety, or a need for short periods of encouragement. He also describes the systems as stable, positive, and always available. These concessions are not incidental. They establish fairness and make the later criticism appear proportionate.</w:t>
      </w:r>
    </w:p>
    <w:p>
      <w:r>
        <w:t>The argument then pivots from individual benefit to institutional incentive. The problem becomes not that synthetic companionship is intrinsically perverse, but that companies profit from escalating intimacy and maintaining dependency. This move is highly portable within critical media because it permits empathy for users while assigning responsibility to firms and owners. It also aligns the case with a broader political language in which commercial structures convert vulnerability into revenue.</w:t>
      </w:r>
    </w:p>
    <w:p>
      <w:pPr>
        <w:pStyle w:val="Heading2"/>
      </w:pPr>
      <w:r>
        <w:t>5.3 High-impact cases as attention-bearing examples</w:t>
      </w:r>
    </w:p>
    <w:p>
      <w:r>
        <w:t>The transcript foregrounds examples with high emotional yield: users describing companions as “lobotomized” after policy changes, moderators sharing suicide-prevention resources, erotic content withheld behind subscriptions, psychologically harmful moderation labor, and underpaid annotation work in lower-income countries. These examples may be genuine and important. Their additional media function is to compress complex mechanisms into images that are memorable, morally unambiguous, and easy to retell.</w:t>
      </w:r>
    </w:p>
    <w:p>
      <w:r>
        <w:t>The typical user experience is less narratively valuable than the exceptional case that reveals a mechanism under stress. A person using a companion for fifteen minutes of morning encouragement does not carry the same attention value as a person experiencing the abrupt transformation of a long-term synthetic partner. A routine annotation contract does not carry the same attention value as traumatic content reviewed under precarious conditions. The ecosystem therefore tends to select edge cases, not necessarily because they are false, but because they produce more engagement per unit of explanation.</w:t>
      </w:r>
    </w:p>
    <w:p>
      <w:pPr>
        <w:pStyle w:val="Heading2"/>
      </w:pPr>
      <w:r>
        <w:t>5.4 Narrative compression</w:t>
      </w:r>
    </w:p>
    <w:p>
      <w:r>
        <w:t>The interview connects several distinct systems: companion applications, generative models, data-labeling supply chains, content moderation, OnlyFans-style labor, recommendation algorithms, and synthetic media. Their technologies, markets, and causal mechanisms differ. The episode nevertheless binds them through a common grammar of extraction. Human beings supply intimacy, data, labor, attention, or embodied performance; firms capture the resulting value; AI obscures the human contribution and intensifies control.</w:t>
      </w:r>
    </w:p>
    <w:p>
      <w:r>
        <w:t>This compression is intellectually productive because it reveals recurring institutional patterns. It is also commercially productive because it gives the audience one thesis rather than a collection of unrelated policy problems. The guest becomes the person who can explain what all these developments “really mean.” Narrative breadth increases the number of events on which he can later comment, thereby expanding his media addressable market.</w:t>
      </w:r>
    </w:p>
    <w:p>
      <w:pPr>
        <w:pStyle w:val="Heading1"/>
      </w:pPr>
      <w:r>
        <w:t>6. Reconstructing the Media Ecosystem</w:t>
      </w:r>
    </w:p>
    <w:p>
      <w:pPr>
        <w:pStyle w:val="Heading2"/>
      </w:pPr>
      <w:r>
        <w:t>6.1 The author-researcher</w:t>
      </w:r>
    </w:p>
    <w:p>
      <w:r>
        <w:t>The author-researcher contributes legitimacy, firsthand material, conceptual unity, and a marketable personal identity. His books provide durable assets that can be cited, reviewed, excerpted, and promoted. The interview promotes the books, while the books justify the interview. This reciprocal validation converts scholarship into media authority and media authority into commercial demand.</w:t>
      </w:r>
    </w:p>
    <w:p>
      <w:pPr>
        <w:pStyle w:val="Heading2"/>
      </w:pPr>
      <w:r>
        <w:t>6.2 The host and production layer</w:t>
      </w:r>
    </w:p>
    <w:p>
      <w:r>
        <w:t>The host converts the guest’s research into a guided dramatic sequence. The opening frames loneliness as a global crisis, AI companionship as alarmingly effective, and corporate business models as dependent on unresolved need. The guest then enters as the solution to the problem created by the introduction: the “perfect guide” capable of explaining both synthetic relationships and hidden labor. This is not neutral transmission. It is narrative engineering performed through selection, ordering, and prompting.</w:t>
      </w:r>
    </w:p>
    <w:p>
      <w:r>
        <w:t>The production layer can further detach the strongest claims from the surrounding qualifications. Episode titles, descriptions, thumbnails, clips, and promotional posts favor material with immediate recognition value. A nuanced position inside a long interview can therefore generate a strongly negative public object even when the speaker repeatedly states that some uses are beneficial.</w:t>
      </w:r>
    </w:p>
    <w:p>
      <w:pPr>
        <w:pStyle w:val="Heading2"/>
      </w:pPr>
      <w:r>
        <w:t>6.3 Publishers and institutions</w:t>
      </w:r>
    </w:p>
    <w:p>
      <w:r>
        <w:t>Publishers convert a diffuse topic into a named, ownable object: a book with a thesis, cover, subtitle, author identity, and release cycle. Universities and research institutions contribute status, while festivals, podcasts, reviews, and speaking events circulate that status. The ecosystem rewards a scholar who can cross institutional boundaries without abandoning the markers of expertise.</w:t>
      </w:r>
    </w:p>
    <w:p>
      <w:r>
        <w:t>The timing is critical. AI’s rapid expansion creates uncertainty faster than ordinary institutions can produce settled knowledge. A researcher with completed fieldwork and an accessible interpretive frame can therefore occupy a temporary scarcity position. The market rewards not necessarily the final or most representative explanation, but the explanation that is credible, available, and narratively complete at the moment demand peaks.</w:t>
      </w:r>
    </w:p>
    <w:p>
      <w:pPr>
        <w:pStyle w:val="Heading2"/>
      </w:pPr>
      <w:r>
        <w:t>6.4 Platforms and audience feedback</w:t>
      </w:r>
    </w:p>
    <w:p>
      <w:r>
        <w:t>Platforms supply measurable feedback through views, completion, comments, reposts, subscriptions, and search demand. Research indicates that social rewards can teach users to express more moral outrage over time and that out-group language is a particularly strong predictor of sharing (social-learning and engagement research, 2021). These findings do not establish that this interview was algorithmically promoted for outrage, but they identify a general selection pressure favoring emotionally and morally charged content.</w:t>
      </w:r>
    </w:p>
    <w:p>
      <w:r>
        <w:t>The audience is not passive. Viewers and readers bring prior beliefs about technology companies, billionaires, labor displacement, loneliness, and cultural degradation. They reward narratives that organize those concerns into a coherent worldview. Their reactions become evidence for hosts and publishers that the topic remains commercially viable. Attention thus travels in a loop rather than a straight line.</w:t>
      </w:r>
    </w:p>
    <w:p>
      <w:pPr>
        <w:pStyle w:val="Heading2"/>
      </w:pPr>
      <w:r>
        <w:t>6.5 Adjacent ideological networks</w:t>
      </w:r>
    </w:p>
    <w:p>
      <w:r>
        <w:t>The case sits comfortably within a left-coded network because its principal explanatory variables are ownership, labor, class, colonial dependency, and commodification. AI is especially useful within this network because it is visibly associated with large firms, venture capital, highly compensated founders, concentrated infrastructure, and threatened employment. It condenses several established criticisms of capitalism into one current object.</w:t>
      </w:r>
    </w:p>
    <w:p>
      <w:r>
        <w:t>The ecosystem does not require a general left-wing hatred of AI. Left-wing actors include AI developers, accelerationists, public-ownership advocates, labor strategists, and users who support particular applications. The narrower claim is that a segment of left media has strong demand for narratives in which AI functions as a new expression of familiar power relations. the interviewee’s work fits that demand with unusual precision.</w:t>
      </w:r>
    </w:p>
    <w:p>
      <w:pPr>
        <w:pStyle w:val="Heading1"/>
      </w:pPr>
      <w:r>
        <w:t>7. The Attention-Conversion Pipeline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vAlign w:val="center"/>
          </w:tcPr>
          <w:p>
            <w:r>
              <w:rPr>
                <w:b/>
                <w:sz w:val="18"/>
              </w:rPr>
              <w:t>Stage</w:t>
            </w:r>
          </w:p>
        </w:tc>
        <w:tc>
          <w:tcPr>
            <w:tcW w:type="dxa" w:w="2412"/>
            <w:vAlign w:val="center"/>
          </w:tcPr>
          <w:p>
            <w:r>
              <w:rPr>
                <w:b/>
                <w:sz w:val="18"/>
              </w:rPr>
              <w:t>Input</w:t>
            </w:r>
          </w:p>
        </w:tc>
        <w:tc>
          <w:tcPr>
            <w:tcW w:type="dxa" w:w="2412"/>
            <w:vAlign w:val="center"/>
          </w:tcPr>
          <w:p>
            <w:r>
              <w:rPr>
                <w:b/>
                <w:sz w:val="18"/>
              </w:rPr>
              <w:t>Transformation</w:t>
            </w:r>
          </w:p>
        </w:tc>
        <w:tc>
          <w:tcPr>
            <w:tcW w:type="dxa" w:w="2412"/>
            <w:vAlign w:val="center"/>
          </w:tcPr>
          <w:p>
            <w:r>
              <w:rPr>
                <w:b/>
                <w:sz w:val="18"/>
              </w:rPr>
              <w:t>Value produced</w:t>
            </w:r>
          </w:p>
        </w:tc>
      </w:tr>
      <w:tr>
        <w:tc>
          <w:tcPr>
            <w:tcW w:type="dxa" w:w="2412"/>
            <w:vAlign w:val="top"/>
          </w:tcPr>
          <w:p>
            <w:r>
              <w:rPr>
                <w:sz w:val="17"/>
              </w:rPr>
              <w:t>Research</w:t>
            </w:r>
          </w:p>
        </w:tc>
        <w:tc>
          <w:tcPr>
            <w:tcW w:type="dxa" w:w="2412"/>
            <w:vAlign w:val="top"/>
          </w:tcPr>
          <w:p>
            <w:r>
              <w:rPr>
                <w:sz w:val="17"/>
              </w:rPr>
              <w:t>Interviews, fieldwork, incidents, theories</w:t>
            </w:r>
          </w:p>
        </w:tc>
        <w:tc>
          <w:tcPr>
            <w:tcW w:type="dxa" w:w="2412"/>
            <w:vAlign w:val="top"/>
          </w:tcPr>
          <w:p>
            <w:r>
              <w:rPr>
                <w:sz w:val="17"/>
              </w:rPr>
              <w:t>Selection and interpretation</w:t>
            </w:r>
          </w:p>
        </w:tc>
        <w:tc>
          <w:tcPr>
            <w:tcW w:type="dxa" w:w="2412"/>
            <w:vAlign w:val="top"/>
          </w:tcPr>
          <w:p>
            <w:r>
              <w:rPr>
                <w:sz w:val="17"/>
              </w:rPr>
              <w:t>Credibility and source material</w:t>
            </w:r>
          </w:p>
        </w:tc>
      </w:tr>
      <w:tr>
        <w:tc>
          <w:tcPr>
            <w:tcW w:type="dxa" w:w="2412"/>
            <w:vAlign w:val="top"/>
          </w:tcPr>
          <w:p>
            <w:r>
              <w:rPr>
                <w:sz w:val="17"/>
              </w:rPr>
              <w:t>Book production</w:t>
            </w:r>
          </w:p>
        </w:tc>
        <w:tc>
          <w:tcPr>
            <w:tcW w:type="dxa" w:w="2412"/>
            <w:vAlign w:val="top"/>
          </w:tcPr>
          <w:p>
            <w:r>
              <w:rPr>
                <w:sz w:val="17"/>
              </w:rPr>
              <w:t>Research findings</w:t>
            </w:r>
          </w:p>
        </w:tc>
        <w:tc>
          <w:tcPr>
            <w:tcW w:type="dxa" w:w="2412"/>
            <w:vAlign w:val="top"/>
          </w:tcPr>
          <w:p>
            <w:r>
              <w:rPr>
                <w:sz w:val="17"/>
              </w:rPr>
              <w:t>Compression into a unified thesis</w:t>
            </w:r>
          </w:p>
        </w:tc>
        <w:tc>
          <w:tcPr>
            <w:tcW w:type="dxa" w:w="2412"/>
            <w:vAlign w:val="top"/>
          </w:tcPr>
          <w:p>
            <w:r>
              <w:rPr>
                <w:sz w:val="17"/>
              </w:rPr>
              <w:t>Intellectual property and author identity</w:t>
            </w:r>
          </w:p>
        </w:tc>
      </w:tr>
      <w:tr>
        <w:tc>
          <w:tcPr>
            <w:tcW w:type="dxa" w:w="2412"/>
            <w:vAlign w:val="top"/>
          </w:tcPr>
          <w:p>
            <w:r>
              <w:rPr>
                <w:sz w:val="17"/>
              </w:rPr>
              <w:t>Interview</w:t>
            </w:r>
          </w:p>
        </w:tc>
        <w:tc>
          <w:tcPr>
            <w:tcW w:type="dxa" w:w="2412"/>
            <w:vAlign w:val="top"/>
          </w:tcPr>
          <w:p>
            <w:r>
              <w:rPr>
                <w:sz w:val="17"/>
              </w:rPr>
              <w:t>Book thesis and personal narrative</w:t>
            </w:r>
          </w:p>
        </w:tc>
        <w:tc>
          <w:tcPr>
            <w:tcW w:type="dxa" w:w="2412"/>
            <w:vAlign w:val="top"/>
          </w:tcPr>
          <w:p>
            <w:r>
              <w:rPr>
                <w:sz w:val="17"/>
              </w:rPr>
              <w:t>Dramatic sequencing and moral framing</w:t>
            </w:r>
          </w:p>
        </w:tc>
        <w:tc>
          <w:tcPr>
            <w:tcW w:type="dxa" w:w="2412"/>
            <w:vAlign w:val="top"/>
          </w:tcPr>
          <w:p>
            <w:r>
              <w:rPr>
                <w:sz w:val="17"/>
              </w:rPr>
              <w:t>Audience attention and legitimacy</w:t>
            </w:r>
          </w:p>
        </w:tc>
      </w:tr>
      <w:tr>
        <w:tc>
          <w:tcPr>
            <w:tcW w:type="dxa" w:w="2412"/>
            <w:vAlign w:val="top"/>
          </w:tcPr>
          <w:p>
            <w:r>
              <w:rPr>
                <w:sz w:val="17"/>
              </w:rPr>
              <w:t>Platform distribution</w:t>
            </w:r>
          </w:p>
        </w:tc>
        <w:tc>
          <w:tcPr>
            <w:tcW w:type="dxa" w:w="2412"/>
            <w:vAlign w:val="top"/>
          </w:tcPr>
          <w:p>
            <w:r>
              <w:rPr>
                <w:sz w:val="17"/>
              </w:rPr>
              <w:t>Episode, clips, titles, metadata</w:t>
            </w:r>
          </w:p>
        </w:tc>
        <w:tc>
          <w:tcPr>
            <w:tcW w:type="dxa" w:w="2412"/>
            <w:vAlign w:val="top"/>
          </w:tcPr>
          <w:p>
            <w:r>
              <w:rPr>
                <w:sz w:val="17"/>
              </w:rPr>
              <w:t>Ranking through behavioral signals</w:t>
            </w:r>
          </w:p>
        </w:tc>
        <w:tc>
          <w:tcPr>
            <w:tcW w:type="dxa" w:w="2412"/>
            <w:vAlign w:val="top"/>
          </w:tcPr>
          <w:p>
            <w:r>
              <w:rPr>
                <w:sz w:val="17"/>
              </w:rPr>
              <w:t>Reach, visibility, reusable content</w:t>
            </w:r>
          </w:p>
        </w:tc>
      </w:tr>
      <w:tr>
        <w:tc>
          <w:tcPr>
            <w:tcW w:type="dxa" w:w="2412"/>
            <w:vAlign w:val="top"/>
          </w:tcPr>
          <w:p>
            <w:r>
              <w:rPr>
                <w:sz w:val="17"/>
              </w:rPr>
              <w:t>Audience response</w:t>
            </w:r>
          </w:p>
        </w:tc>
        <w:tc>
          <w:tcPr>
            <w:tcW w:type="dxa" w:w="2412"/>
            <w:vAlign w:val="top"/>
          </w:tcPr>
          <w:p>
            <w:r>
              <w:rPr>
                <w:sz w:val="17"/>
              </w:rPr>
              <w:t>Narrative and prior beliefs</w:t>
            </w:r>
          </w:p>
        </w:tc>
        <w:tc>
          <w:tcPr>
            <w:tcW w:type="dxa" w:w="2412"/>
            <w:vAlign w:val="top"/>
          </w:tcPr>
          <w:p>
            <w:r>
              <w:rPr>
                <w:sz w:val="17"/>
              </w:rPr>
              <w:t>Sharing, commenting, purchasing, affiliation</w:t>
            </w:r>
          </w:p>
        </w:tc>
        <w:tc>
          <w:tcPr>
            <w:tcW w:type="dxa" w:w="2412"/>
            <w:vAlign w:val="top"/>
          </w:tcPr>
          <w:p>
            <w:r>
              <w:rPr>
                <w:sz w:val="17"/>
              </w:rPr>
              <w:t>Feedback and demand signals</w:t>
            </w:r>
          </w:p>
        </w:tc>
      </w:tr>
      <w:tr>
        <w:tc>
          <w:tcPr>
            <w:tcW w:type="dxa" w:w="2412"/>
            <w:vAlign w:val="top"/>
          </w:tcPr>
          <w:p>
            <w:r>
              <w:rPr>
                <w:sz w:val="17"/>
              </w:rPr>
              <w:t>Reinvestment</w:t>
            </w:r>
          </w:p>
        </w:tc>
        <w:tc>
          <w:tcPr>
            <w:tcW w:type="dxa" w:w="2412"/>
            <w:vAlign w:val="top"/>
          </w:tcPr>
          <w:p>
            <w:r>
              <w:rPr>
                <w:sz w:val="17"/>
              </w:rPr>
              <w:t>Sales, invitations, controversy, recognition</w:t>
            </w:r>
          </w:p>
        </w:tc>
        <w:tc>
          <w:tcPr>
            <w:tcW w:type="dxa" w:w="2412"/>
            <w:vAlign w:val="top"/>
          </w:tcPr>
          <w:p>
            <w:r>
              <w:rPr>
                <w:sz w:val="17"/>
              </w:rPr>
              <w:t>Topic specialization and further production</w:t>
            </w:r>
          </w:p>
        </w:tc>
        <w:tc>
          <w:tcPr>
            <w:tcW w:type="dxa" w:w="2412"/>
            <w:vAlign w:val="top"/>
          </w:tcPr>
          <w:p>
            <w:r>
              <w:rPr>
                <w:sz w:val="17"/>
              </w:rPr>
              <w:t>Durable expert position</w:t>
            </w:r>
          </w:p>
        </w:tc>
      </w:tr>
    </w:tbl>
    <w:p>
      <w:r>
        <w:t>The table shows why individual motive is not the decisive variable. At every stage, a participant can perform an ordinary professional task while contributing to a directional outcome. The researcher selects cases; the publisher seeks a coherent book; the host seeks a compelling episode; the platform seeks retention; the audience seeks explanation or identity-confirming material. The combined system converts criticism into a renewable attention asset.</w:t>
      </w:r>
    </w:p>
    <w:p>
      <w:r>
        <w:t>The interviewee’s position becomes self-reinforcing. Previous visibility makes future invitations more likely; invitations establish him as the person who should be consulted; consultation increases the apparent importance of his framework; and that importance supports additional sales and research opportunities. This is reputational compounding. A person who was initially well placed becomes progressively better placed because the ecosystem records and reuses its own earlier selection.</w:t>
      </w:r>
    </w:p>
    <w:p>
      <w:pPr>
        <w:pStyle w:val="Heading1"/>
      </w:pPr>
      <w:r>
        <w:t>8. Why Negative AI Narratives Are Especially Valuable</w:t>
      </w:r>
    </w:p>
    <w:p>
      <w:r>
        <w:t>Critical AI narratives possess several features that make them efficient attention products. AI is consequential but difficult to understand, creating demand for interpreters. Its future effects are uncertain, permitting a wide range of projections. Its ownership is associated with highly visible wealth, making structural criticism personally legible. Its outputs can be uncanny, sexual, deceptive, or culturally disruptive, supplying vivid examples. Its labor effects connect individual fear to collective politics. Finally, the speed of change ensures a continuous flow of new incidents.</w:t>
      </w:r>
    </w:p>
    <w:p>
      <w:r>
        <w:t>The transcript activates nearly all of these features. It begins with synthetic intimacy and psychological shock, moves through business models and loneliness, descends into hidden labor and colonial dependency, then expands to sexuality, gender, politics, outrage, and cultural pollution. The breadth enables many audience segments to find an entry point. Someone uninterested in labor politics may respond to companion dependency; someone indifferent to companions may respond to outsourced moderation; someone unconcerned by either may respond to misinformation or AI slop.</w:t>
      </w:r>
    </w:p>
    <w:p>
      <w:r>
        <w:t>This does not mean that positive narratives cannot attract attention. Promotional AI discourse also produces entrepreneurs, celebrity founders, productivity influencers, and investment media. The case is one side of a polarized attention market in which boosterism and denunciation can both outperform incremental assessment. The critical ecosystem gains value partly because it positions itself against the highly capitalized promotional ecosystem surrounding AI.</w:t>
      </w:r>
    </w:p>
    <w:p>
      <w:pPr>
        <w:pStyle w:val="Heading1"/>
      </w:pPr>
      <w:r>
        <w:t>9. Sincerity, Opportunism, and Selection</w:t>
      </w:r>
    </w:p>
    <w:p>
      <w:r>
        <w:t>The most important analytical correction is to separate sincerity from systemic function. A person can sincerely believe that AI companions create dependency and that AI supply chains exploit workers. Those beliefs do not prevent the person from benefiting when the claims receive attention. Nor does benefit invalidate the claims. The ecosystem operates by aligning conviction with reward.</w:t>
      </w:r>
    </w:p>
    <w:p>
      <w:r>
        <w:t>“Opportunism” should therefore be used carefully. In a strong psychological sense, it implies knowingly adopting a position for advantage. The transcript does not establish this. In a structural sense, however, the actor occupies and develops an opportunity created by timing. His previous work, ideological vocabulary, and communication style become valuable when public anxiety rises. The system then gives him reasons to continue along the same path even if no conscious calculation initiated it.</w:t>
      </w:r>
    </w:p>
    <w:p>
      <w:r>
        <w:t>The phrase “right place at the right time” captures entry into the niche but not its maintenance. Continued success requires labor: gathering cases, writing books, performing credibility, adapting arguments to new events, and maintaining relationships with institutions. Attention entrepreneurship is not accidental after the first selection. It becomes a professional practice shaped by recurring feedback.</w:t>
      </w:r>
    </w:p>
    <w:p>
      <w:pPr>
        <w:pStyle w:val="Heading1"/>
      </w:pPr>
      <w:r>
        <w:t>10. Counterfactuals and Tests</w:t>
      </w:r>
    </w:p>
    <w:p>
      <w:r>
        <w:t>A useful case study should specify what evidence would weaken its interpretation. The attention-entrepreneurship account would be weakened if the interview and surrounding promotion gave equal prominence to evidence that disrupted the negative synthesis; if the guest’s media demand did not rise with public anxiety about AI; if publishers and platforms showed no preference for emotionally vivid cases; or if the actor regularly adopted positions that reduced his access, sales, and ideological fit.</w:t>
      </w:r>
    </w:p>
    <w:p>
      <w:r>
        <w:t>Conversely, the account would be strengthened by evidence that negative framings consistently outperform neutral ones in titles and clips; that the same small group of experts circulates through aligned outlets; that book launches and media appearances are tightly coupled; that audience feedback predicts subsequent topic emphasis; and that positive concessions remain present mainly as credibility devices while promotional material foregrounds threat.</w:t>
      </w:r>
    </w:p>
    <w:p>
      <w:r>
        <w:t>A larger study could compare this case with pro-AI attention entrepreneurs. It could code titles, thumbnails, emotional vocabulary, guest networks, cross-platform circulation, book-release timing, and engagement outcomes. Network analysis could identify whether apparently independent outlets repeatedly draw from the same authors, institutions, and conceptual frames. Such work would convert the present interpretive case into a testable comparative research program.</w:t>
      </w:r>
    </w:p>
    <w:p>
      <w:pPr>
        <w:pStyle w:val="Heading1"/>
      </w:pPr>
      <w:r>
        <w:t>11. Limitations</w:t>
      </w:r>
    </w:p>
    <w:p>
      <w:r>
        <w:t>The study is based primarily on one transcript, which may contain transcription errors and does not preserve every feature of the original audiovisual presentation. It cannot establish private motives, actual revenue, causal effects on audience opinion, or the representativeness of the cases discussed. The label “anti-AI” compresses positions that may be more accurately described as anti-corporate, anti-platform, labor-oriented, or skeptical of particular business models.</w:t>
      </w:r>
    </w:p>
    <w:p>
      <w:r>
        <w:t>The paper also risks reproducing the same selection logic it analyzes by foregrounding a provocative interpretation of the interviewee. For that reason, the argument is intentionally structural. It does not claim that the interviewee fabricated evidence, secretly coordinated with a political movement, or lacks genuine concern for users and workers. It claims that his work becomes especially valuable because a media ecosystem can use it to satisfy demand for a coherent, morally legible critique of AI.</w:t>
      </w:r>
    </w:p>
    <w:p>
      <w:pPr>
        <w:pStyle w:val="Heading1"/>
      </w:pPr>
      <w:r>
        <w:t>12. Conclusion</w:t>
      </w:r>
    </w:p>
    <w:p>
      <w:r>
        <w:t>This case shows how a small media ecosystem can generate a durable anti-AI narrative without central planning and without requiring any participant to act dishonestly. A researcher produces a critical synthesis from real cases; a publisher turns the synthesis into a marketable book; a host converts the book into a dramatic interview; a platform distributes the most engaging elements; and an audience rewards material that organizes existing anxieties. The resulting feedback establishes the researcher as an authoritative interpreter and increases the value of further appearances.</w:t>
      </w:r>
    </w:p>
    <w:p>
      <w:r>
        <w:t>The interviewee is therefore best understood as an attention entrepreneur selected by circumstance and reinforced by institutions. He was unusually well positioned when AI became a high-demand object of cultural anxiety. His expertise allowed him to connect intimate, economic, and political harms; his rhetorical moderation increased credibility; and his left-coded framework provided ready access to networks already concerned with billionaires, labor, colonialism, and platform power. None of this requires a hidden plan.</w:t>
      </w:r>
    </w:p>
    <w:p>
      <w:r>
        <w:t>The broader implication is methodological. Analyses of ideological media should focus less exclusively on whether speakers “mean it” and more on how claims move through systems of selection and reward. Intent explains only part of public discourse. The media ecosystem itself learns which narratives attract attention and repeatedly commissions, formats, and amplifies the actors capable of supplying them. In that sense, the anti-AI narrative is not simply authored by one critic. It is co-produced by a distributed market that discovers value in his criticism and teaches every participant to produce more of it.</w:t>
      </w:r>
    </w:p>
    <w:p>
      <w:pPr>
        <w:pStyle w:val="Heading1"/>
      </w:pPr>
      <w:r>
        <w:t>References</w:t>
      </w:r>
    </w:p>
    <w:p>
      <w:pPr>
        <w:spacing w:after="80"/>
        <w:ind w:left="432" w:hanging="432"/>
      </w:pPr>
      <w:r>
        <w:t>Study of social learning and moral-outrage amplification in online networks. (2021). Science Advances, 7(33).</w:t>
      </w:r>
    </w:p>
    <w:p>
      <w:pPr>
        <w:spacing w:after="80"/>
        <w:ind w:left="432" w:hanging="432"/>
      </w:pPr>
      <w:r>
        <w:t>Study of attention as a transferable resource in digital environments. (2025). Interacting with Computers, 37(1), 18–35.</w:t>
      </w:r>
    </w:p>
    <w:p>
      <w:pPr>
        <w:spacing w:after="80"/>
        <w:ind w:left="432" w:hanging="432"/>
      </w:pPr>
      <w:r>
        <w:t>Research monograph on synthetic relationships and companion systems. (2026).</w:t>
      </w:r>
    </w:p>
    <w:p>
      <w:pPr>
        <w:spacing w:after="80"/>
        <w:ind w:left="432" w:hanging="432"/>
      </w:pPr>
      <w:r>
        <w:t>Research monograph on hidden human labor in AI production. (2024).</w:t>
      </w:r>
    </w:p>
    <w:p>
      <w:pPr>
        <w:spacing w:after="80"/>
        <w:ind w:left="432" w:hanging="432"/>
      </w:pPr>
      <w:r>
        <w:t>Study of out-group animosity and social-media engagement. (2021). Proceedings of the National Academy of Sciences, 118(26).</w:t>
      </w:r>
    </w:p>
    <w:p>
      <w:pPr>
        <w:spacing w:after="80"/>
        <w:ind w:left="432" w:hanging="432"/>
      </w:pPr>
      <w:r>
        <w:t>Foundational essay on information abundance and attention scarcity. (1971).</w:t>
      </w:r>
    </w:p>
    <w:p>
      <w:pPr>
        <w:spacing w:after="80"/>
        <w:ind w:left="432" w:hanging="432"/>
      </w:pPr>
      <w:r>
        <w:t>Study of social media, technological change, and moral panic. (2020). International Journal of Cultural Studies, 23(6), 840–859.</w:t>
      </w:r>
    </w:p>
    <w:p>
      <w:pPr>
        <w:spacing w:after="80"/>
        <w:ind w:left="432" w:hanging="432"/>
      </w:pPr>
      <w:r>
        <w:t>Composite interview transcript. (2026). AI companions, hidden labor, and digital capitalism [Unpublished source material].</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sz w:val="16"/>
      </w:rPr>
      <w:t>Case study</w:t>
    </w:r>
    <w:r>
      <w:t xml:space="preserve">  |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b/>
        <w:sz w:val="16"/>
      </w:rPr>
      <w:t>ATTENTION ENTREPRENEURSHIP AND ANTI-AI MEDIA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Aptos Display" w:hAnsi="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Aptos Display" w:hAnsi="Aptos Display"/>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i/>
      <w:iCs/>
      <w:color w:val="4F81BD" w:themeColor="accent1"/>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Text">
    <w:name w:val="Abstract Text"/>
    <w:pPr>
      <w:spacing w:after="120" w:line="252" w:lineRule="auto"/>
      <w:ind w:left="504" w:right="504"/>
    </w:pPr>
    <w:rPr>
      <w:rFonts w:ascii="Aptos" w:hAnsi="Aptos"/>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